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49D" w:rsidRDefault="00A7349D">
      <w:pPr>
        <w:rPr>
          <w:rFonts w:ascii="Times New Roman" w:hAnsi="Times New Roman" w:cs="Times New Roman"/>
          <w:sz w:val="28"/>
          <w:szCs w:val="28"/>
        </w:rPr>
      </w:pPr>
      <w:r>
        <w:rPr>
          <w:rFonts w:ascii="Times New Roman" w:hAnsi="Times New Roman" w:cs="Times New Roman"/>
          <w:sz w:val="28"/>
          <w:szCs w:val="28"/>
        </w:rPr>
        <w:t xml:space="preserve">В мае 2018 года Президент России подписал Указ, в котором определены стратегические цели развития Российской Федерации до 2024 года. Для их достижения были разработаны национальные проекты по 12 направлениям социально-экономического развития. Объём средств на реализацию майского Указа составит около 25 триллионов рублей. На основе приоритетов, определенных Указом, были созданы программы, которые сегодня действуют по всей стране. Тверская область принимает участие во всех 12 проектах. </w:t>
      </w:r>
    </w:p>
    <w:p w:rsidR="00A7349D" w:rsidRDefault="00A7349D">
      <w:pPr>
        <w:rPr>
          <w:rFonts w:ascii="Times New Roman" w:hAnsi="Times New Roman" w:cs="Times New Roman"/>
          <w:sz w:val="28"/>
          <w:szCs w:val="28"/>
        </w:rPr>
      </w:pPr>
      <w:r>
        <w:rPr>
          <w:rFonts w:ascii="Times New Roman" w:hAnsi="Times New Roman" w:cs="Times New Roman"/>
          <w:sz w:val="28"/>
          <w:szCs w:val="28"/>
        </w:rPr>
        <w:t>Национальный проект «Демография» структурно подразделяется на пять основных проектов:</w:t>
      </w:r>
    </w:p>
    <w:p w:rsidR="00A7349D" w:rsidRDefault="00A7349D">
      <w:pPr>
        <w:rPr>
          <w:rFonts w:ascii="Times New Roman" w:hAnsi="Times New Roman" w:cs="Times New Roman"/>
          <w:sz w:val="28"/>
          <w:szCs w:val="28"/>
        </w:rPr>
      </w:pPr>
      <w:r>
        <w:rPr>
          <w:rFonts w:ascii="Times New Roman" w:hAnsi="Times New Roman" w:cs="Times New Roman"/>
          <w:sz w:val="28"/>
          <w:szCs w:val="28"/>
        </w:rPr>
        <w:t>- финансовая поддержка семей при рождении детей;</w:t>
      </w:r>
    </w:p>
    <w:p w:rsidR="00A7349D" w:rsidRDefault="00A7349D">
      <w:pPr>
        <w:rPr>
          <w:rFonts w:ascii="Times New Roman" w:hAnsi="Times New Roman" w:cs="Times New Roman"/>
          <w:sz w:val="28"/>
          <w:szCs w:val="28"/>
        </w:rPr>
      </w:pPr>
      <w:r>
        <w:rPr>
          <w:rFonts w:ascii="Times New Roman" w:hAnsi="Times New Roman" w:cs="Times New Roman"/>
          <w:sz w:val="28"/>
          <w:szCs w:val="28"/>
        </w:rPr>
        <w:t>- содействие занятости женщин – создание условий дошк</w:t>
      </w:r>
      <w:r w:rsidR="001A1547">
        <w:rPr>
          <w:rFonts w:ascii="Times New Roman" w:hAnsi="Times New Roman" w:cs="Times New Roman"/>
          <w:sz w:val="28"/>
          <w:szCs w:val="28"/>
        </w:rPr>
        <w:t>ольного образования для детей в</w:t>
      </w:r>
      <w:r>
        <w:rPr>
          <w:rFonts w:ascii="Times New Roman" w:hAnsi="Times New Roman" w:cs="Times New Roman"/>
          <w:sz w:val="28"/>
          <w:szCs w:val="28"/>
        </w:rPr>
        <w:t xml:space="preserve"> возрасте до трёх лет;</w:t>
      </w:r>
    </w:p>
    <w:p w:rsidR="00A7349D" w:rsidRDefault="00A7349D">
      <w:pPr>
        <w:rPr>
          <w:rFonts w:ascii="Times New Roman" w:hAnsi="Times New Roman" w:cs="Times New Roman"/>
          <w:sz w:val="28"/>
          <w:szCs w:val="28"/>
        </w:rPr>
      </w:pPr>
      <w:r>
        <w:rPr>
          <w:rFonts w:ascii="Times New Roman" w:hAnsi="Times New Roman" w:cs="Times New Roman"/>
          <w:sz w:val="28"/>
          <w:szCs w:val="28"/>
        </w:rPr>
        <w:t>- старшее поколение;</w:t>
      </w:r>
    </w:p>
    <w:p w:rsidR="00A7349D" w:rsidRDefault="00A7349D">
      <w:pPr>
        <w:rPr>
          <w:rFonts w:ascii="Times New Roman" w:hAnsi="Times New Roman" w:cs="Times New Roman"/>
          <w:sz w:val="28"/>
          <w:szCs w:val="28"/>
        </w:rPr>
      </w:pPr>
      <w:r>
        <w:rPr>
          <w:rFonts w:ascii="Times New Roman" w:hAnsi="Times New Roman" w:cs="Times New Roman"/>
          <w:sz w:val="28"/>
          <w:szCs w:val="28"/>
        </w:rPr>
        <w:t>- укрепление общественного здоровья;</w:t>
      </w:r>
    </w:p>
    <w:p w:rsidR="00A7349D" w:rsidRDefault="00A7349D">
      <w:pPr>
        <w:rPr>
          <w:rFonts w:ascii="Times New Roman" w:hAnsi="Times New Roman" w:cs="Times New Roman"/>
          <w:sz w:val="28"/>
          <w:szCs w:val="28"/>
        </w:rPr>
      </w:pPr>
      <w:r>
        <w:rPr>
          <w:rFonts w:ascii="Times New Roman" w:hAnsi="Times New Roman" w:cs="Times New Roman"/>
          <w:sz w:val="28"/>
          <w:szCs w:val="28"/>
        </w:rPr>
        <w:t>- спорт – норма жизни.</w:t>
      </w:r>
    </w:p>
    <w:p w:rsidR="00A7349D" w:rsidRDefault="00A7349D">
      <w:pPr>
        <w:rPr>
          <w:rFonts w:ascii="Times New Roman" w:hAnsi="Times New Roman" w:cs="Times New Roman"/>
          <w:sz w:val="28"/>
          <w:szCs w:val="28"/>
        </w:rPr>
      </w:pPr>
      <w:r>
        <w:rPr>
          <w:rFonts w:ascii="Times New Roman" w:hAnsi="Times New Roman" w:cs="Times New Roman"/>
          <w:sz w:val="28"/>
          <w:szCs w:val="28"/>
        </w:rPr>
        <w:t>В рамках регионального проекта «Старшее поколение» будет реализована организация профессионального обучения и дополнительного профессионального образования лиц предпенсионного возраста.</w:t>
      </w:r>
    </w:p>
    <w:p w:rsidR="000D320D" w:rsidRDefault="000D320D">
      <w:pPr>
        <w:rPr>
          <w:rFonts w:ascii="Times New Roman" w:hAnsi="Times New Roman" w:cs="Times New Roman"/>
          <w:sz w:val="28"/>
          <w:szCs w:val="28"/>
        </w:rPr>
      </w:pPr>
      <w:r>
        <w:rPr>
          <w:rFonts w:ascii="Times New Roman" w:hAnsi="Times New Roman" w:cs="Times New Roman"/>
          <w:sz w:val="28"/>
          <w:szCs w:val="28"/>
        </w:rPr>
        <w:t xml:space="preserve">К лицам предпенсионного возраста, имеющим право на </w:t>
      </w:r>
      <w:proofErr w:type="gramStart"/>
      <w:r>
        <w:rPr>
          <w:rFonts w:ascii="Times New Roman" w:hAnsi="Times New Roman" w:cs="Times New Roman"/>
          <w:sz w:val="28"/>
          <w:szCs w:val="28"/>
        </w:rPr>
        <w:t>обучение по</w:t>
      </w:r>
      <w:proofErr w:type="gramEnd"/>
      <w:r>
        <w:rPr>
          <w:rFonts w:ascii="Times New Roman" w:hAnsi="Times New Roman" w:cs="Times New Roman"/>
          <w:sz w:val="28"/>
          <w:szCs w:val="28"/>
        </w:rPr>
        <w:t xml:space="preserve"> региональному проекту «Старшее поколение», относятся граждане в течение 5 лет до наступления возраста, дающего право на страховую пенсию по старости, в том числе назначаемую досрочно. При этом обучаться могут как работающие граждане предпенсионного возраста, так и не занятые трудовой деятельностью, ищущие работу (кроме граждан, признанных в установленном порядке безработными). </w:t>
      </w:r>
    </w:p>
    <w:p w:rsidR="000D320D" w:rsidRDefault="000D320D">
      <w:pPr>
        <w:rPr>
          <w:rFonts w:ascii="Times New Roman" w:hAnsi="Times New Roman" w:cs="Times New Roman"/>
          <w:sz w:val="28"/>
          <w:szCs w:val="28"/>
        </w:rPr>
      </w:pPr>
      <w:r>
        <w:rPr>
          <w:rFonts w:ascii="Times New Roman" w:hAnsi="Times New Roman" w:cs="Times New Roman"/>
          <w:sz w:val="28"/>
          <w:szCs w:val="28"/>
        </w:rPr>
        <w:t xml:space="preserve">Направление лиц предпенсионного возраста на профессиональное обучение и дополнительное профессиональное образование (далее - обучение) осуществляется с 2019 года Центрами занятости населения. </w:t>
      </w:r>
    </w:p>
    <w:p w:rsidR="00E708A5" w:rsidRDefault="000D320D">
      <w:pPr>
        <w:rPr>
          <w:rFonts w:ascii="Times New Roman" w:hAnsi="Times New Roman" w:cs="Times New Roman"/>
          <w:sz w:val="28"/>
          <w:szCs w:val="28"/>
        </w:rPr>
      </w:pPr>
      <w:r>
        <w:rPr>
          <w:rFonts w:ascii="Times New Roman" w:hAnsi="Times New Roman" w:cs="Times New Roman"/>
          <w:sz w:val="28"/>
          <w:szCs w:val="28"/>
        </w:rPr>
        <w:t xml:space="preserve">Обучение может быть организовано по любым образовательным программам профессионального обучения и дополнительным профессиональным программам, в которых заинтересованы граждане предпенсионного возраста, а также работодатели, у которых работают граждане предпенсионного возраста. Обучение может быть организовано на базе образовательных </w:t>
      </w:r>
      <w:r>
        <w:rPr>
          <w:rFonts w:ascii="Times New Roman" w:hAnsi="Times New Roman" w:cs="Times New Roman"/>
          <w:sz w:val="28"/>
          <w:szCs w:val="28"/>
        </w:rPr>
        <w:lastRenderedPageBreak/>
        <w:t>организаций, расположенных в местах проживания граждан</w:t>
      </w:r>
      <w:r w:rsidR="00E708A5">
        <w:rPr>
          <w:rFonts w:ascii="Times New Roman" w:hAnsi="Times New Roman" w:cs="Times New Roman"/>
          <w:sz w:val="28"/>
          <w:szCs w:val="28"/>
        </w:rPr>
        <w:t xml:space="preserve"> предпенсионного возраста и в другой местности на территории Тверской области, а также, при необходимости, непосредственно в помещениях, предоставленных работодателями.</w:t>
      </w:r>
    </w:p>
    <w:p w:rsidR="00E708A5" w:rsidRDefault="00E708A5">
      <w:pPr>
        <w:rPr>
          <w:rFonts w:ascii="Times New Roman" w:hAnsi="Times New Roman" w:cs="Times New Roman"/>
          <w:sz w:val="28"/>
          <w:szCs w:val="28"/>
        </w:rPr>
      </w:pPr>
      <w:r>
        <w:rPr>
          <w:rFonts w:ascii="Times New Roman" w:hAnsi="Times New Roman" w:cs="Times New Roman"/>
          <w:sz w:val="28"/>
          <w:szCs w:val="28"/>
        </w:rPr>
        <w:t>Обучение лиц предпенсионного возраста осуществляется преимущественно по месту жительства, в том числе с использованием выездного, сетевого, электронного, дистанционного и других форм организации обучения.</w:t>
      </w:r>
    </w:p>
    <w:p w:rsidR="00E708A5" w:rsidRDefault="00E708A5">
      <w:pPr>
        <w:rPr>
          <w:rFonts w:ascii="Times New Roman" w:hAnsi="Times New Roman" w:cs="Times New Roman"/>
          <w:sz w:val="28"/>
          <w:szCs w:val="28"/>
        </w:rPr>
      </w:pPr>
      <w:r>
        <w:rPr>
          <w:rFonts w:ascii="Times New Roman" w:hAnsi="Times New Roman" w:cs="Times New Roman"/>
          <w:sz w:val="28"/>
          <w:szCs w:val="28"/>
        </w:rPr>
        <w:t>В случае желания гражданина предпенсионного возраста выехать на обучение в другую местность, расходы на проезд к месту обучения и обратно, а также расходы на проживание в другой местности в период прохождения обучения оплачиваются гражданином за счёт собственных средств или оплачивается (компенсируется) работодателем, у которого работает гражданин предпенсионного возраста.</w:t>
      </w:r>
    </w:p>
    <w:p w:rsidR="00E708A5" w:rsidRDefault="00E708A5">
      <w:pPr>
        <w:rPr>
          <w:rFonts w:ascii="Times New Roman" w:hAnsi="Times New Roman" w:cs="Times New Roman"/>
          <w:sz w:val="28"/>
          <w:szCs w:val="28"/>
        </w:rPr>
      </w:pPr>
      <w:r>
        <w:rPr>
          <w:rFonts w:ascii="Times New Roman" w:hAnsi="Times New Roman" w:cs="Times New Roman"/>
          <w:sz w:val="28"/>
          <w:szCs w:val="28"/>
        </w:rPr>
        <w:t>Повторное обучение граждан предпенсионного возраста, завершивших обучение в рамках мероприятия, не допускается.</w:t>
      </w:r>
    </w:p>
    <w:p w:rsidR="00E708A5" w:rsidRDefault="00E708A5">
      <w:pPr>
        <w:rPr>
          <w:rFonts w:ascii="Times New Roman" w:hAnsi="Times New Roman" w:cs="Times New Roman"/>
          <w:sz w:val="28"/>
          <w:szCs w:val="28"/>
        </w:rPr>
      </w:pPr>
      <w:r>
        <w:rPr>
          <w:rFonts w:ascii="Times New Roman" w:hAnsi="Times New Roman" w:cs="Times New Roman"/>
          <w:sz w:val="28"/>
          <w:szCs w:val="28"/>
        </w:rPr>
        <w:t>Обучение граждан предпенсионного возраста должно быть завершено до наступления возраста, дающего право на страховую пенсию по старости, в том числе назначаемую досрочно.</w:t>
      </w:r>
    </w:p>
    <w:p w:rsidR="00E708A5" w:rsidRDefault="00E708A5">
      <w:pPr>
        <w:rPr>
          <w:rFonts w:ascii="Times New Roman" w:hAnsi="Times New Roman" w:cs="Times New Roman"/>
          <w:sz w:val="28"/>
          <w:szCs w:val="28"/>
        </w:rPr>
      </w:pPr>
      <w:r>
        <w:rPr>
          <w:rFonts w:ascii="Times New Roman" w:hAnsi="Times New Roman" w:cs="Times New Roman"/>
          <w:sz w:val="28"/>
          <w:szCs w:val="28"/>
        </w:rPr>
        <w:t>Граждане предпенсионного возраста, зарегистрированные в органах службы занятости в качестве безработных, не могут являться участниками мероприятия.</w:t>
      </w:r>
    </w:p>
    <w:p w:rsidR="00E708A5" w:rsidRDefault="00E708A5">
      <w:pPr>
        <w:rPr>
          <w:rFonts w:ascii="Times New Roman" w:hAnsi="Times New Roman" w:cs="Times New Roman"/>
          <w:sz w:val="28"/>
          <w:szCs w:val="28"/>
        </w:rPr>
      </w:pPr>
      <w:r>
        <w:rPr>
          <w:rFonts w:ascii="Times New Roman" w:hAnsi="Times New Roman" w:cs="Times New Roman"/>
          <w:sz w:val="28"/>
          <w:szCs w:val="28"/>
        </w:rPr>
        <w:t>Срок обучения лиц предпенсионного возраста определяется продолжительностью реализации образовательной программы и может составлять от 16 до 500 часов. Средний период обучения составляет не более 3 месяцев, общая продолжительность обучения не может превышать 6 месяцев. Стоимость обучения одного человека за курс обучения составляет не более 68,5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ублей за 3 месяца.</w:t>
      </w:r>
    </w:p>
    <w:p w:rsidR="00E708A5" w:rsidRDefault="00E708A5">
      <w:pPr>
        <w:rPr>
          <w:rFonts w:ascii="Times New Roman" w:hAnsi="Times New Roman" w:cs="Times New Roman"/>
          <w:sz w:val="28"/>
          <w:szCs w:val="28"/>
        </w:rPr>
      </w:pPr>
      <w:r>
        <w:rPr>
          <w:rFonts w:ascii="Times New Roman" w:hAnsi="Times New Roman" w:cs="Times New Roman"/>
          <w:sz w:val="28"/>
          <w:szCs w:val="28"/>
        </w:rPr>
        <w:t>Незанятым гражданам, и</w:t>
      </w:r>
      <w:r w:rsidR="003311A2">
        <w:rPr>
          <w:rFonts w:ascii="Times New Roman" w:hAnsi="Times New Roman" w:cs="Times New Roman"/>
          <w:sz w:val="28"/>
          <w:szCs w:val="28"/>
        </w:rPr>
        <w:t xml:space="preserve">щущим работу, в период обучения выплачивается стипендия в размере, равном величине минимального </w:t>
      </w:r>
      <w:proofErr w:type="gramStart"/>
      <w:r w:rsidR="003311A2">
        <w:rPr>
          <w:rFonts w:ascii="Times New Roman" w:hAnsi="Times New Roman" w:cs="Times New Roman"/>
          <w:sz w:val="28"/>
          <w:szCs w:val="28"/>
        </w:rPr>
        <w:t>размера оплаты труда</w:t>
      </w:r>
      <w:proofErr w:type="gramEnd"/>
      <w:r w:rsidR="003311A2">
        <w:rPr>
          <w:rFonts w:ascii="Times New Roman" w:hAnsi="Times New Roman" w:cs="Times New Roman"/>
          <w:sz w:val="28"/>
          <w:szCs w:val="28"/>
        </w:rPr>
        <w:t>, установленного Федеральным законом «О минимальном размере оплаты труда».</w:t>
      </w:r>
    </w:p>
    <w:p w:rsidR="003311A2" w:rsidRDefault="003311A2">
      <w:pPr>
        <w:rPr>
          <w:rFonts w:ascii="Times New Roman" w:hAnsi="Times New Roman" w:cs="Times New Roman"/>
          <w:sz w:val="28"/>
          <w:szCs w:val="28"/>
        </w:rPr>
      </w:pPr>
      <w:r>
        <w:rPr>
          <w:rFonts w:ascii="Times New Roman" w:hAnsi="Times New Roman" w:cs="Times New Roman"/>
          <w:sz w:val="28"/>
          <w:szCs w:val="28"/>
        </w:rPr>
        <w:t>Финансирование обучения граждан предпенсионного возраста и выплаты стипендии незанятым, ищущим работу гражданам предпенсионного возраста осуществляется за счет средств федерального и областного бюджетов.</w:t>
      </w:r>
    </w:p>
    <w:p w:rsidR="00A7349D" w:rsidRPr="00A7349D" w:rsidRDefault="00A7349D">
      <w:pPr>
        <w:rPr>
          <w:rFonts w:ascii="Times New Roman" w:hAnsi="Times New Roman" w:cs="Times New Roman"/>
          <w:sz w:val="28"/>
          <w:szCs w:val="28"/>
        </w:rPr>
      </w:pPr>
    </w:p>
    <w:sectPr w:rsidR="00A7349D" w:rsidRPr="00A7349D" w:rsidSect="00C546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7349D"/>
    <w:rsid w:val="000D320D"/>
    <w:rsid w:val="001A1547"/>
    <w:rsid w:val="003311A2"/>
    <w:rsid w:val="00A7349D"/>
    <w:rsid w:val="00C546B5"/>
    <w:rsid w:val="00E708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6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595</Words>
  <Characters>3398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dc:creator>
  <cp:keywords/>
  <dc:description/>
  <cp:lastModifiedBy>Duma</cp:lastModifiedBy>
  <cp:revision>5</cp:revision>
  <dcterms:created xsi:type="dcterms:W3CDTF">2019-04-04T14:21:00Z</dcterms:created>
  <dcterms:modified xsi:type="dcterms:W3CDTF">2019-04-05T07:45:00Z</dcterms:modified>
</cp:coreProperties>
</file>